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286</w:t>
      </w:r>
    </w:p>
    <w:p>
      <w:r>
        <w:t>Bundesgericht (BGE), 2009-06-16, DE</w:t>
      </w:r>
    </w:p>
    <w:p>
      <w:r>
        <w:rPr>
          <w:b/>
        </w:rPr>
        <w:t xml:space="preserve">Quelle: </w:t>
      </w:r>
      <w:r>
        <w:t>https://mcp.opencaselaw.ch/entscheid/bge_135 II 286</w:t>
      </w:r>
    </w:p>
    <w:p>
      <w:r>
        <w:t>FR: ATF 135 II 286</w:t>
      </w:r>
    </w:p>
    <w:p>
      <w:r>
        <w:t>IT: DTF 135 II 286</w:t>
      </w:r>
    </w:p>
    <w:p>
      <w:pPr>
        <w:pStyle w:val="Heading2"/>
      </w:pPr>
      <w:r>
        <w:t>Regeste</w:t>
      </w:r>
    </w:p>
    <w:p>
      <w:r>
        <w:t>Regeste a Art. 4 RPG; Charakter des Mitwirkungsrechts im Planungsverfahren. Die Mitwirkung im Sinne von Art. 4 RPG stellt eine Einflussmöglichkeit dar, die von den Instrumenten der direkten Demokratie und des Rechtsschutzes zu unterscheiden ist. Berechtigt, sich informieren zu lassen und an der Mitwirkung teilzunehmen, ist "die Bevölkerung", damit weder nur die Stimmberechtigten der planenden Gebietskörperschaft noch nur die Grundeigentümer im Planperimeter oder die im Sinne der Rechtsschutzbestimmungen besonders betroffene Bevölkerung. Das Mitwirkungsrecht dient höchstens indirekt dem Rechtsschutz. Bei - mit Blick auf den Gesamtzusammenhang - untergeordneten nachträglichen Planänderungen ohne weitergehendes öffentliches Interesse darf darum von einer Nachholung des Mitwirkungsverfahrens abgesehen werden (E. 4).</w:t>
      </w:r>
    </w:p>
    <w:p>
      <w:r>
        <w:t>Regeste b Art. 29 Abs. 2 BV, Art. 33 RPG; rechtliches Gehör und Rechtsschutz im Planungsverfahren. Im Raumplanungsrecht werden individueller Rechtsschutz und damit die Gewährung des rechtlichen Gehörs in Art. 33 RPG abschliessend konkretisiert. Verlangt wird in Art. 33 RPG lediglich die Auflage der Nutzungspläne, nicht aber auch der Planentwürfe. Diesem Anspruch genügt ein Verfahren, das die öffentliche Auflage des Nutzungsplanes erst nach dessen Festsetzung durch das zuständige Organ zur Einleitung des Rechtsmittelverfahrens anordnet. Infolgedessen können Einwendungen im Rahmen eines Einsprache- oder Beschwerdeverfahrens vorgebracht werden. Dabei ist in Kauf zu nehmen, dass sich die Betroffenen je nach Ausgestaltung des kantonalen Verfahrens erst gegenüber der Rechtsmittelinstanz erstmalig rechtlich zur Wehr setzen können und nicht schon gegenüber der Planungsbehörde. Das rechtliche Gehör wird damit nicht verletzt (E. 5).</w:t>
      </w:r>
    </w:p>
    <w:p>
      <w:pPr>
        <w:pStyle w:val="Heading2"/>
      </w:pPr>
      <w:r>
        <w:t>Erwägungen</w:t>
      </w:r>
    </w:p>
    <w:p>
      <w:r>
        <w:rPr>
          <w:b/>
        </w:rPr>
        <w:t>E. 4</w:t>
      </w:r>
    </w:p>
    <w:p>
      <w:r>
        <w:t>Die Beschwerdeführer rügen, dass sie über die nachträgliche Änderung des GEP erst nach der Volksabstimmung informiert worden sind. Aus ihrer Sicht hätte ein zweites Mitwirkungsverfahren durchgeführt werden müssen: Sie erblicken im Vorgehen der Behörden sowohl eine Verletzung von Art. 4 RPG (SR 700) als auch von Art. 29 Abs. 2 BV . Zwischen den beiden angerufenen Bestimmungen gilt es jedoch klar zu unterscheiden, da sie unterschiedliche Zielrichtungen verfolgen.</w:t>
      </w:r>
    </w:p>
    <w:p>
      <w:r>
        <w:rPr>
          <w:b/>
        </w:rPr>
        <w:t>E. 4.1</w:t>
      </w:r>
    </w:p>
    <w:p>
      <w:r>
        <w:t>Art. 4 Abs. 1 RPG sieht vor, dass die mit Planungsaufgaben betrauten Behörden die Bevölkerung über Ziele und Ablauf der Planungen nach dem RPG unterrichten. Sie sorgen dafür, dass die Bevölkerung bei Planungen in geeigneter Weise mitwirken kann (Abs. 2). Den zuständigen Behörden steht bei der Anwendung von Art. 4 Abs. 2 RPG ein weiter Handlungsspielraum zu. Das gilt insbesondere auch für die Bestimmung des Kreises, welcher in ein Mitwirkungsverfahren einzubeziehen ist ( BGE 133 II 120 E. 3.2 S. 124). Als Mindestgarantie fordert Art. 4 RPG , dass die Planungsbehörden neben der Freigabe der Entwürfe zur allgemeinen Ansichtsäusserung Vorschläge und Einwände nicht nur entgegennehmen, sondern auch materiell beantworten ( BGE 111 Ia 164 E. 2d S. 168). Es genügt allerdings, wenn sich die Behörden materiell mit den Vorschlägen und Einwänden befassen, eine individuelle Beantwortung wird nicht verlangt (WALDMANN/HÄNNI, Raumplanungsgesetz, Handkommentar, 2006, N. 13 zu Art. 4 RPG ; siehe auch Urteil des Bundesgerichts 1C_101/2007 vom 26. Februar 2008 E. 3.1).</w:t>
      </w:r>
    </w:p>
    <w:p>
      <w:r>
        <w:rPr>
          <w:b/>
        </w:rPr>
        <w:t>E. 4.2.1</w:t>
      </w:r>
    </w:p>
    <w:p>
      <w:r>
        <w:t>Der Kanton Graubünden hat diese bundesrechtlichen Vorgaben in Art. 13 der Raumplanungsverordnung für den Kanton Graubünden vom 24. Mai 2005 (KRVO; BR 801.110) mit der sogenannten "Mitwirkungsauflage" umgesetzt. Danach legt der Gemeindevorstand nach Abschluss des Vorprüfungsverfahrens den Entwurf für die neuen Vorschriften und Pläne zusammen mit dem Planungsbericht, einem allfälligen UVB und eventuellen Gesuchen für Zusatzbewilligungen in der Gemeinde während 30 Tagen öffentlich auf und gibt die Auflage im amtlichen Publikationsorgan der Gemeinde und im Kantonsamtsblatt bekannt (Abs. 1). Während der öffentlichen Auflage kann jedermann beim Gemeindevorstand Vorschläge und Einwendungen einbringen. Dieser prüft die BGE 135 II 286 S. 291 Eingaben und nimmt dazu gegenüber den Mitwirkenden Stellung. Das Ergebnis des Mitwirkungsverfahrens wird zuhanden des beschlussfassenden Organs zusammengefasst (Abs. 2). Wird eine Vorlage nach der Mitwirkungsauflage geändert und erfolgt keine zweite Auflage, gibt der Gemeindevorstand die Änderung in der Publikation des Beschlusses über den Erlass oder die Änderung der Grundordnung bekannt und teilt diese ausserdem dem direkt Betroffenen schriftlich mit (Abs. 3). Da das umstrittene Wegstück im Zeitpunkt der Mitwirkungsauflage noch nicht in der jetzigen Linienführung projektiert war, bestand für die Beschwerdeführer kein Anlass, entsprechende Anregungen und Vorschläge einzubringen. Der regierungsrätlichen Praxis entsprechend sah die Stadt Chur von einer zweiten Mitwirkungsauflage ab, da es sich bei der umstrittenen nachträglichen Änderung des Plans nicht um eine wesentliche Änderung handelte. Über die nachträgliche Änderung wurden die Beschwerdeführer, wie das Art. 13 Abs. 3 KRVO vorsieht, nach der Volksabstimmung informiert. Sie sind allerdings der Auffassung, dass die nachträgliche Änderung eine zweite Mitwirkungsauflage erheischt hätte. Dabei berufen sie sich sowohl auf Art. 13 KRVO (dazu nachfolgend E. 4.2.2) als auch 4 RPG (dazu nachfolgend E. 4.2.3).</w:t>
      </w:r>
    </w:p>
    <w:p>
      <w:r>
        <w:rPr>
          <w:b/>
        </w:rPr>
        <w:t>E. 4.2.2</w:t>
      </w:r>
    </w:p>
    <w:p>
      <w:r>
        <w:t>Die Beschwerdeführer sind der Auffassung, Abs. 3 von Art. 13 KRVO müsse restriktiv interpretiert werden und dürfe nur zur Anwendung gelangen, wenn die Planänderung aus einer Einwendung im Rahmen des Mitwirkungsverfahrens gemäss Abs. 2 resultiere, nicht aber, wenn die Planungsbehörde sie von sich aus vornehme. Aus dem Wortlaut von Art. 13 Abs. 3 KRVO ergibt sich keine solche Einschränkung. Es ist jedenfalls nicht willkürlich, Art. 13 Abs. 3 KRVO dann anzuwenden, wenn eine Vorlage nachträglich geändert wird und keine zweite Auflage erfolgt, sei es, dass die Änderung auf einer in der Mitwirkungsauflage erfolgten Einwendung beruht, sei es, dass die Planungsbehörde von sich aus handelt. Im Übrigen erwähnt der sehr offen formulierte Art. 13 Abs. 3 KRVO nicht ausdrücklich, unter welchen Voraussetzungen eine zweite Auflage erfolgt.</w:t>
      </w:r>
    </w:p>
    <w:p>
      <w:r>
        <w:rPr>
          <w:b/>
        </w:rPr>
        <w:t>E. 4.2.3</w:t>
      </w:r>
    </w:p>
    <w:p>
      <w:r>
        <w:t>Die Mitwirkung im Sinne von Art. 4 RPG stellt eine Einflussmöglichkeit dar, die von den Instrumenten der direkten Demokratie und des Rechtsschutzes zu unterscheiden ist. Sie gehört wie das Vernehmlassungsverfahren zu jenen institutionellen Formen, die keine rechtliche Bindung, sondern blosse politische Einflussnahme BGE 135 II 286 S. 292 bewirken. Information und Mitwirkung ermöglichen die notwendige Breite der Interessenabwägung, bilden eine wichtige Grundlage für den sachgerechten Planungsentscheid und tragen damit zu einer qualitativ guten Planung bei. Deshalb verlangt deren Durchführung einen Zeitpunkt, in welchem die abschliessende Interessenabwägung noch offen ist (RUDOLF MUGGLI, in: Kommentar zum Bundesgesetz über die Raumplanung, 1999, N. 9 zu Art. 4 RPG ; WALDMANN/HÄNNI, a.a.O., N. 1 zu Art. 4 RPG ). Berechtigt, sich informieren zu lassen und an der Mitwirkung teilzunehmen, ist "die Bevölkerung", damit weder nur die Stimmberechtigten der planenden Gebietskörperschaft noch nur die Grundeigentümer im Planperimeter oder die im Sinne der Rechtsschutzbestimmungen besonders betroffene Bevölkerung. Ein besonderer Interessennachweis ist nicht verlangt (WALDMANN/HÄNNI, a.a.O., N. 9 zu Art. 4 RPG ). Es liegt allerdings nahe, dass die durch die Planung direkt Betroffenen, welche in einem späteren Rechtsmittelverfahren zur Beschwerde legitimiert sind, ihre Interessen bereits im Mitwirkungsverfahren im Sinne von Einwendungen und Anregungen geltend machen (siehe auch WALDMANN/HÄNNI, a.a.O., N. 2 zu Art. 4 RPG ). Ob Art 4 RPG im Falle gewichtiger (nachträglicher) Änderungen eine Wiederholung der Mitwirkungsauflage gebietet, braucht hier nicht abschliessend erörtert zu werden. Bundesrechtlich ist jedenfalls nicht zu beanstanden, wenn bei mit Blick auf den Gesamtzusammenhang untergeordneten nachträglichen Planänderungen ohne weitergehendes öffentliches Interesse von einer Nachholung des Mitwirkungsverfahrens abgesehen wird (so auch MUGGLI, a.a.O., N. 25 zu Art. 4 RPG und WALDMANN/HÄNNI, a.a.O., N. 114 zu Art. 4 RPG , mit Hinweis auf die Regelungen in Art. 58 Abs. 2 des Baugesetzes des Kantons Bern vom 9. Juni 1985 [BauG/BE; BSG 721.0] oder in Art. 9 Abs. 3 der Genfer Loi d'application de la loi fédérale sur l'aménagement du territoire du 4 juin 1987 [LaLAT; RSG L 1 30]). Damit wird in Kauf genommen, dass Interessierte nicht vorgängig an jedem einzelnen Punkt der Neugestaltung teilnehmen können und namentlich von der Planänderung direkt Betroffene auf den Rechtsmittelweg verwiesen werden, wie das Art. 13 Abs. 3 KRVO vorsieht. Angesichts der Zweckbestimmung des Mitwirkungsrechts, welches höchstens indirekt dem Rechtsschutz dient, in erster Linie aber zur politischen Meinungsbildung einem breiten Personenkreis offen stehen soll, ist diese Praxis mit Art. 4 RPG vereinbar. BGE 135 II 286 S. 293</w:t>
      </w:r>
    </w:p>
    <w:p>
      <w:r>
        <w:rPr>
          <w:b/>
        </w:rPr>
        <w:t>E. 4.2.4</w:t>
      </w:r>
    </w:p>
    <w:p>
      <w:r>
        <w:t>Bei der nachträglichen Aufnahme des umstrittenen Fusswegstückes in den GEP handelt es sich - entgegen der Meinung der Beschwerdeführer - um eine geringfügige Änderung des gesamten Erschliessungsplans, und es sind nur verhältnismässig Wenige davon direkt betroffen. Unter diesen Umständen war der Verzicht auf eine Wiederholung des Mitwirkungsverfahrens nicht bundesrechtswidrig. Mit ihrem Vorgehen haben die Behörden weder Art. 13 Abs. 3 KRVO noch Art. 4 RPG verletzt.</w:t>
      </w:r>
    </w:p>
    <w:p>
      <w:r>
        <w:rPr>
          <w:b/>
        </w:rPr>
        <w:t>E. 5</w:t>
      </w:r>
    </w:p>
    <w:p>
      <w:r>
        <w:t>Die Beschwerdeführer erblicken im Unterlassen der aus ihrer Sicht gebotenen vorgängigen Information über die Planänderung aber auch eine Verletzung ihres rechtlichen Gehörs.</w:t>
      </w:r>
    </w:p>
    <w:p>
      <w:r>
        <w:rPr>
          <w:b/>
        </w:rPr>
        <w:t>E. 5.1</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132 II 485 E. 3.2 S. 494; BGE 127 I 54 E. 2b S. 56; BGE 117 Ia 262 E. 4b S. 268 mit Hinweisen).</w:t>
      </w:r>
    </w:p>
    <w:p>
      <w:r>
        <w:rPr>
          <w:b/>
        </w:rPr>
        <w:t>E. 5.2</w:t>
      </w:r>
    </w:p>
    <w:p>
      <w:r>
        <w:t>Es gibt eine Reihe von Kantonen, welche bereits die Planentwürfe auflegen und ein förmliches Einspracheverfahren vorsehen (§§ 9 und 16 des solothurnischen Planungs- und Baugesetzes vom 3. Dezember 1978 [BGS 711.1; im Folgenden: PBG/SO]; § 24 Abs. 1 und 2 des aargauischen Baugesetzes vom 19. Januar 1993 [BauG/AG; SAR 713.100]; § 109 f. des basel-städtischen Bau- und Planungsgesetzes vom 17. November 1999 [BPG/BS; SG 730.100]). In andern Kantonen wiederum wird das Mitwirkungs- mit dem Planverfahren kombiniert (so etwa im Kanton Zürich, vgl. dazu HALLER/KARLEN, Raumplanungs-, Bau- und Umweltrecht, Bd. I, 3. Aufl. 1999, Rn. 402 S. 112; § 24 Abs. 3 BauG/AG bei Sondernutzungsplanungen und bei Änderungen der Nutzungspläne und BGE 135 II 286 S. 294 Nutzungsvorschriften von untergeordneter Bedeutung; Art. 43 Abs. 3 der loi jurassienne du 25 juin 1987 sur les constructions et l'aménagement du territoire [LCAT; RSJU 701.1]). Dagegen sieht der Kanton Graubünden für die Grundordnungsverfahren (Art. 12 ff. KRVO) kein eigentliches Einspracheverfahren vor, so dass sich die Beschwerdeführer hinsichtlich ihrer Einwendungen auf das Rechtsmittelverfahren verwiesen sahen (Art. 13 Abs. 3 KRVO). Verschiedene Autoren halten dafür, dass die bloss nachträgliche Einräumung eines Rechtsmittels gegen einen bereits beschlossenen Nutzungsplan mit dem verfassungsrechtlichen Anspruch auf rechtliches Gehör nicht vereinbar sei, sondern der durch beabsichtigte Nutzungsplanungen in schutzwürdigen Interessen Betroffene die Möglichkeit haben müsse, bereits von Planentwürfen Kenntnis zu erhalten, sie einzusehen und dagegen Einwendungen zu erheben. Damit wird die Forderung erhoben, das rechtliche Gehör im Nutzungsplanverfahren vor der erstinstanzlichen Beschlussfassung zu gewähren (WALTER HALLER, Das rechtliche Gehör bei der Festsetzung von Raumplänen, in: Festschrift für O. K. Kaufmann zum 75. Geburtstag, 1989, S. 376 f.; weitere Hinweise bei AEMISEGGER/HAAG, in: Kommentar zum Bundesgesetz über die Raumplanung, 1999, N. 11 Fn. 25 zu Art. 33 RPG ). Für diese Auffassung könnte sprechen, dass die Gewährung des rechtlichen Gehörs im Allgemeinen erheischt, dass Betroffene vor Erlass eines in ihre Rechtsstellung eingreifenden Entscheides durch die zuständige Behörde zum frühestmöglichen Zeitpunkt anzuhören sind. Es ist nicht zu übersehen, dass, wenn wie vorliegend Einwendungen gegen die Planänderung erst nach dem Beschluss über deren Erlass im anschliessenden Rechtsmittelverfahren vorgebracht werden können, deren Adressatin nicht die Planungsbehörde, sondern die Rechtsmittelinstanz ist. Dieser kommt zwar grundsätzlich umfassende Kognition zu ( Art. 33 Abs. 3 lit. b RPG ), doch respektiert sie das Planungsermessen der lokalen Planungsbehörde ( BGE 127 II 238 E. 3b/aa S. 242 mit zahlreichen Hinweisen). Damit geht einher, dass die zur Stellungnahme zu den Einwendungen aufgerufene Planungsbehörde nach durchgeführter Abstimmung nicht mehr in dem Masse frei ist, wie sie es in einem der Abstimmung vorgelagerten Verfahren wäre, weshalb von ihr im Rahmen der Vernehmlassung im Rechtsmittelverfahren keine wirklich unvoreingenommene Prüfung zu erwarten ist, selbst wenn ein Rückkommen noch möglich wäre. Fraglich ist, ob das rechtliche Gehör der Betroffenen mit diesem Vorgehen hinreichend gewahrt wird. BGE 135 II 286 S. 295</w:t>
      </w:r>
    </w:p>
    <w:p>
      <w:r>
        <w:rPr>
          <w:b/>
        </w:rPr>
        <w:t>E. 5.3</w:t>
      </w:r>
    </w:p>
    <w:p>
      <w:r>
        <w:t>Im Raumplanungsrecht werden individueller Rechtsschutz und damit die Gewährung des rechtlichen Gehörs in Art. 33 RPG abschliessend konkretisiert: Nutzungspläne werden öffentlich aufgelegt (Abs. 1). Das kantonale Recht sieht wenigstens ein Rechtsmittel vor (Abs. 2) und gewährleistet volle Überprüfung durch wenigstens eine Beschwerdebehörde (Abs. 3 lit. b). Damit erhalten die Legitimierten (Abs. 3 lit. a) Gelegenheit, im Beschwerdeverfahren mit ihren Anliegen zu den sie tangierenden Planänderungen gehört zu werden. Freilich ist es den Kantonen unbenommen, Planentwürfe nicht nur im Sinne der Mitwirkungsauflage, sondern auch zur Eröffnung eines dem individuellen Rechtsschutz dienenden Einspracheverfahrens für die direkt Betroffenen aufzulegen, stellt doch das Bundesrecht in Wahrung der kantonalen Hoheit nur Mindestvorschriften zur Gewährleistung des Rechtsschutzes auf ( BGE 114 Ia 233 E. 2bc ff. S. 238 f.). Der in Art. 33 RPG konkretisierte Gehörsanspruch verlangt (nur), dass sich entweder die kommunale oder die kantonale Behörde im Einsprache-, Beschwerde- oder Homologationsverfahren mit den formgerecht und innert Frist erhobenen Einwendungen materiell befassen muss ( BGE 107 Ia 273 ). Verlangt wird in Art. 33 RPG lediglich die Auflage der Nutzungspläne, nicht aber auch der Planentwürfe. Diesem Anspruch genügt ein Verfahren, das die öffentliche Auflage des Nutzungsplanes erst nach dessen Festsetzung durch das zuständige Organ zur Einleitung des Rechtsmittelverfahrens anordnet. Das kantonale Recht, dem das Bundesrecht Rechnung trägt, sieht denn auch vielfach eine Trennung des politischen Willensbildungsprozesses vom Rechtsmittelverfahren in dem Sinne vor, dass die im Dienste des Rechtsschutzes stehende Planauflage erst nach dem Entscheid des zuständigen Organs, in der Regel der Gemeindeversammlung als der Legislative der Gemeinde, erfolgt ( BGE 114 Ia 233 E. 2cd S. 239 mit Hinweisen auf damalige kantonale Regelungen im Tessin, Basel-Landschaft und Zürich). Infolgedessen können Einwendungen im Rahmen eines Einsprache- oder Beschwerdeverfahrens vorgebracht werden ( BGE 119 Ia 141 E. 5c/bb S. 150). Dabei ist in Kauf zu nehmen, dass sich die Betroffenen je nach Ausgestaltung des kantonalen Verfahrens erst gegenüber der Rechtsmittelinstanz erstmalig rechtlich zur Wehr setzen können und nicht schon gegenüber der Planungsbehörde. Damit geht einher, dass die Rechtsmittelinstanz, die zwar über eine umfassende Sachverhalts- und Rechtskontrolle verfügt, das Planermessen der BGE 135 II 286 S. 296 Planungsbehörde respektiert. Insoweit mag der Standard der Gehörsgewährung im Beschwerdeverfahren jenem der Gehörsgewährung im Einspracheverfahren nicht vollumfänglich zu entsprechen. Dennoch ist der Anspruch auf rechtliches Gehör gewahrt.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